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283"/>
        <w:contextualSpacing/>
        <w:rPr/>
      </w:pPr>
      <w:r>
        <w:rPr>
          <w:rFonts w:ascii="Liberation Serif;serif" w:hAnsi="Liberation Serif;serif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Liberation Serif;serif" w:hAnsi="Liberation Serif;serif"/>
          <w:sz w:val="24"/>
        </w:rPr>
        <w:t>Aprobat</w:t>
      </w:r>
    </w:p>
    <w:p>
      <w:pPr>
        <w:pStyle w:val="TextBody"/>
        <w:spacing w:before="0" w:after="283"/>
        <w:contextualSpacing/>
        <w:rPr/>
      </w:pPr>
      <w:r>
        <w:rPr>
          <w:rFonts w:ascii="Liberation Serif;serif" w:hAnsi="Liberation Serif;seri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Liberation Serif;serif" w:hAnsi="Liberation Serif;serif"/>
          <w:sz w:val="24"/>
        </w:rPr>
        <w:t>Director executiv</w:t>
      </w:r>
    </w:p>
    <w:p>
      <w:pPr>
        <w:pStyle w:val="TextBody"/>
        <w:spacing w:before="0" w:after="283"/>
        <w:contextualSpacing/>
        <w:rPr/>
      </w:pPr>
      <w:r>
        <w:rPr>
          <w:rFonts w:ascii="Liberation Serif;serif" w:hAnsi="Liberation Serif;seri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Liberation Serif;serif" w:hAnsi="Liberation Serif;serif"/>
          <w:sz w:val="24"/>
        </w:rPr>
        <w:t xml:space="preserve">Dragomir Manuela </w:t>
      </w:r>
    </w:p>
    <w:p>
      <w:pPr>
        <w:pStyle w:val="TextBody"/>
        <w:spacing w:before="0" w:after="0"/>
        <w:rPr>
          <w:b w:val="false"/>
          <w:b w:val="false"/>
          <w:bCs w:val="false"/>
        </w:rPr>
      </w:pPr>
      <w:r>
        <w:rPr>
          <w:rFonts w:ascii="Liberation Serif;serif" w:hAnsi="Liberation Serif;serif"/>
          <w:b w:val="false"/>
          <w:bCs w:val="false"/>
          <w:sz w:val="24"/>
        </w:rPr>
        <w:t xml:space="preserve">Nr. </w:t>
      </w:r>
      <w:r>
        <w:rPr>
          <w:rFonts w:ascii="Liberation Serif;serif" w:hAnsi="Liberation Serif;serif"/>
          <w:b w:val="false"/>
          <w:bCs w:val="false"/>
          <w:sz w:val="24"/>
        </w:rPr>
        <w:t>1296/24.03.2023</w:t>
      </w:r>
    </w:p>
    <w:tbl>
      <w:tblPr>
        <w:tblW w:w="11113" w:type="dxa"/>
        <w:jc w:val="left"/>
        <w:tblInd w:w="-6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562"/>
        <w:gridCol w:w="8001"/>
        <w:gridCol w:w="1250"/>
        <w:gridCol w:w="1300"/>
      </w:tblGrid>
      <w:tr>
        <w:trPr>
          <w:trHeight w:val="563" w:hRule="atLeast"/>
        </w:trPr>
        <w:tc>
          <w:tcPr>
            <w:tcW w:w="111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Raportul anual cu privire la respectarea normelor de conduită de către personalul contractual</w:t>
            </w:r>
          </w:p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la nivelul Direcției de Asistență Socială Caransebeș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1.</w:t>
            </w:r>
          </w:p>
        </w:tc>
        <w:tc>
          <w:tcPr>
            <w:tcW w:w="80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Numărul posturilor de natură contractuală din autoritatea sau instituţia publică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Posturi aprobate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172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0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Posturi ocupate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139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Din care posturi care se ocupă cu personal încadrat: </w:t>
            </w:r>
          </w:p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cu contract individual de muncă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172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cu contract de management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0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2.</w:t>
            </w:r>
          </w:p>
        </w:tc>
        <w:tc>
          <w:tcPr>
            <w:tcW w:w="8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Număr de sesizări privind cazurile de încălcare a normelor de conduită profesională, </w:t>
            </w:r>
          </w:p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din care: </w:t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- funcţii de execuţie </w:t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- funcţii de conducere </w:t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ocupate în cadrul cabinetului demnitarilor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TableContents"/>
              <w:spacing w:before="0" w:after="283"/>
              <w:ind w:left="0" w:right="227" w:hanging="0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3.</w:t>
            </w:r>
          </w:p>
        </w:tc>
        <w:tc>
          <w:tcPr>
            <w:tcW w:w="105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Obiectul sesizării – Nu au existat cazuri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4.</w:t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Număr de angajaţi contractuali care au încălcat normele de conduită morală şi profesională, </w:t>
            </w:r>
          </w:p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din care: </w:t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- funcţii de execuţie </w:t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 xml:space="preserve">- funcţii de conducere </w:t>
            </w:r>
          </w:p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ocupate în cadrul cabinetului demnitarilor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TableContents"/>
              <w:spacing w:before="0" w:after="283"/>
              <w:ind w:left="0" w:right="227" w:hanging="0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TableContents"/>
              <w:spacing w:before="0" w:after="283"/>
              <w:ind w:left="0" w:right="227" w:hanging="0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5.</w:t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Cauzele de încălcare a normelor de conduită profesională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6.</w:t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Număr de sesizări soluţionate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7.</w:t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Modul de soluţionare a sesizărilor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8.</w:t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Consecinţele încălcării normelor de conduită profesională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9.</w:t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Măsuri propuse pentru înlăturarea cauzelor de încălcare a normelor de conduită profesională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/>
            </w:pPr>
            <w:r>
              <w:rPr>
                <w:rFonts w:ascii="Liberation Serif;serif" w:hAnsi="Liberation Serif;serif"/>
                <w:sz w:val="24"/>
              </w:rPr>
              <w:t>1</w:t>
            </w:r>
            <w:r>
              <w:rPr>
                <w:rFonts w:ascii="Liberation Serif;serif" w:hAnsi="Liberation Serif;serif"/>
                <w:sz w:val="24"/>
              </w:rPr>
              <w:t>0</w:t>
            </w:r>
            <w:r>
              <w:rPr>
                <w:rFonts w:ascii="Liberation Serif;serif" w:hAnsi="Liberation Serif;serif"/>
                <w:sz w:val="24"/>
              </w:rPr>
              <w:t>.</w:t>
            </w:r>
          </w:p>
        </w:tc>
        <w:tc>
          <w:tcPr>
            <w:tcW w:w="9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Sancţiuni aplicate, din care dispuse prin hotărâre judecătorească definitivă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TableContents"/>
              <w:spacing w:before="0" w:after="283"/>
              <w:ind w:left="0" w:right="227" w:hanging="0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</w:tbl>
    <w:p>
      <w:pPr>
        <w:pStyle w:val="TextBody"/>
        <w:spacing w:before="0" w:after="283"/>
        <w:rPr/>
      </w:pPr>
      <w:r>
        <w:rPr>
          <w:rFonts w:ascii="Liberation Serif;serif" w:hAnsi="Liberation Serif;serif"/>
          <w:sz w:val="24"/>
        </w:rPr>
        <w:t xml:space="preserve">Întocmit: Mokesch Oana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swiss"/>
    <w:pitch w:val="variable"/>
  </w:font>
  <w:font w:name="Albany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0"/>
      <w:sz w:val="24"/>
      <w:szCs w:val="24"/>
      <w:lang w:val="ro-RO" w:eastAsia="zh-CN" w:bidi="hi-IN"/>
    </w:rPr>
  </w:style>
  <w:style w:type="paragraph" w:styleId="Heading1">
    <w:name w:val="Heading 1"/>
    <w:basedOn w:val="Heading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TextBody">
    <w:name w:val="Text Body"/>
    <w:basedOn w:val="Normal"/>
    <w:pPr>
      <w:spacing w:before="0" w:after="283"/>
      <w:jc w:val="both"/>
    </w:pPr>
    <w:rPr>
      <w:rFonts w:ascii="verdana" w:hAnsi="verdana" w:eastAsia="verdana" w:cs="verdana"/>
      <w:b w:val="false"/>
      <w:bCs w:val="false"/>
      <w:color w:val="000000"/>
      <w:sz w:val="18"/>
      <w:szCs w:val="1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orizontalLine">
    <w:name w:val="Horizontal Line"/>
    <w:basedOn w:val="Normal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Sender"/>
    <w:basedOn w:val="Normal"/>
    <w:pPr/>
    <w:rPr>
      <w:i/>
    </w:rPr>
  </w:style>
  <w:style w:type="paragraph" w:styleId="TableContents">
    <w:name w:val="Table Contents"/>
    <w:basedOn w:val="TextBody"/>
    <w:qFormat/>
    <w:pPr>
      <w:jc w:val="both"/>
    </w:pPr>
    <w:rPr>
      <w:rFonts w:ascii="verdana" w:hAnsi="verdana" w:eastAsia="verdana" w:cs="verdana"/>
      <w:b w:val="false"/>
      <w:bCs w:val="false"/>
      <w:color w:val="000000"/>
      <w:sz w:val="18"/>
      <w:szCs w:val="18"/>
    </w:rPr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485</TotalTime>
  <Application>LibreOffice/4.4.2.2$Windows_x86 LibreOffice_project/c4c7d32d0d49397cad38d62472b0bc8acff48dd6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ro-RO</dc:language>
  <cp:lastPrinted>2023-03-24T12:00:32Z</cp:lastPrinted>
  <dcterms:modified xsi:type="dcterms:W3CDTF">2023-03-24T12:00:52Z</dcterms:modified>
  <cp:revision>2</cp:revision>
  <dc:title>ORDIN nr. 1.466 din 22 iulie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7</vt:lpwstr>
  </property>
  <property fmtid="{D5CDD505-2E9C-101B-9397-08002B2CF9AE}" pid="3" name="ProgId">
    <vt:lpwstr>Word.Document</vt:lpwstr>
  </property>
</Properties>
</file>