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jc w:val="both"/>
        <w:rPr>
          <w:rFonts w:ascii="Times New Roman" w:hAnsi="Times New Roman" w:cs="Georgia"/>
        </w:rPr>
      </w:pPr>
    </w:p>
    <w:p>
      <w:pPr>
        <w:autoSpaceDE w:val="0"/>
        <w:jc w:val="both"/>
        <w:rPr>
          <w:rFonts w:ascii="Times New Roman" w:hAnsi="Times New Roman" w:cs="Georgia"/>
        </w:rPr>
      </w:pPr>
    </w:p>
    <w:p>
      <w:pPr>
        <w:jc w:val="both"/>
      </w:pPr>
      <w:r>
        <w:rPr>
          <w:rFonts w:ascii="Times New Roman" w:hAnsi="Times New Roman" w:eastAsia="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JUDEȚUL CARAȘ-SEVERIN </w:t>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lang w:val="ro-RO"/>
        </w:rPr>
        <w:t>AVIZAT</w:t>
      </w:r>
    </w:p>
    <w:p>
      <w:pPr>
        <w:jc w:val="both"/>
      </w:pPr>
      <w:r>
        <w:rPr>
          <w:rFonts w:ascii="Times New Roman" w:hAnsi="Times New Roman" w:eastAsia="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MUNICIPIUL CARAȘ-SEVERIN</w:t>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lang w:val="ro-RO"/>
        </w:rPr>
        <w:t>PRIMAR</w:t>
      </w:r>
    </w:p>
    <w:p>
      <w:pPr>
        <w:jc w:val="both"/>
      </w:pPr>
      <w:r>
        <w:rPr>
          <w:rFonts w:ascii="Times New Roman" w:hAnsi="Times New Roman" w:cs="Times New Roman"/>
          <w:b w:val="0"/>
          <w:bCs w:val="0"/>
          <w:i w:val="0"/>
          <w:iCs w:val="0"/>
          <w:sz w:val="24"/>
          <w:szCs w:val="24"/>
        </w:rPr>
        <w:t xml:space="preserve">Direcţia Urbanism-Comp.Spatiu Locativ </w:t>
      </w:r>
    </w:p>
    <w:p>
      <w:pPr>
        <w:jc w:val="both"/>
      </w:pPr>
      <w:r>
        <w:rPr>
          <w:rFonts w:ascii="Times New Roman" w:hAnsi="Times New Roman" w:cs="Times New Roman"/>
          <w:b w:val="0"/>
          <w:bCs w:val="0"/>
          <w:i w:val="0"/>
          <w:iCs w:val="0"/>
          <w:sz w:val="24"/>
          <w:szCs w:val="24"/>
        </w:rPr>
        <w:t>Nr.</w:t>
      </w:r>
      <w:r>
        <w:rPr>
          <w:rFonts w:hint="default" w:cs="Times New Roman"/>
          <w:b w:val="0"/>
          <w:bCs w:val="0"/>
          <w:i w:val="0"/>
          <w:iCs w:val="0"/>
          <w:sz w:val="24"/>
          <w:szCs w:val="24"/>
          <w:lang w:val="ro-RO"/>
        </w:rPr>
        <w:t>34726</w:t>
      </w:r>
      <w:r>
        <w:rPr>
          <w:rFonts w:ascii="Times New Roman" w:hAnsi="Times New Roman" w:cs="Times New Roman"/>
          <w:b w:val="0"/>
          <w:bCs w:val="0"/>
          <w:i w:val="0"/>
          <w:iCs w:val="0"/>
          <w:sz w:val="24"/>
          <w:szCs w:val="24"/>
        </w:rPr>
        <w:t xml:space="preserve"> din </w:t>
      </w:r>
      <w:r>
        <w:rPr>
          <w:rFonts w:hint="default" w:cs="Times New Roman"/>
          <w:b w:val="0"/>
          <w:bCs w:val="0"/>
          <w:i w:val="0"/>
          <w:iCs w:val="0"/>
          <w:sz w:val="24"/>
          <w:szCs w:val="24"/>
          <w:lang w:val="ro-RO"/>
        </w:rPr>
        <w:t>13.12.</w:t>
      </w:r>
      <w:r>
        <w:rPr>
          <w:rFonts w:ascii="Times New Roman" w:hAnsi="Times New Roman" w:cs="Times New Roman"/>
          <w:b w:val="0"/>
          <w:bCs w:val="0"/>
          <w:i w:val="0"/>
          <w:iCs w:val="0"/>
          <w:sz w:val="24"/>
          <w:szCs w:val="24"/>
        </w:rPr>
        <w:t xml:space="preserve">2022      </w:t>
      </w:r>
      <w:r>
        <w:rPr>
          <w:rFonts w:ascii="Times New Roman" w:hAnsi="Times New Roman" w:cs="Times New Roman"/>
          <w:b w:val="0"/>
          <w:bCs w:val="0"/>
          <w:i w:val="0"/>
          <w:iCs w:val="0"/>
          <w:sz w:val="24"/>
          <w:szCs w:val="24"/>
        </w:rPr>
        <w:tab/>
      </w:r>
      <w:r>
        <w:rPr>
          <w:rFonts w:hint="default" w:cs="Times New Roman"/>
          <w:b w:val="0"/>
          <w:bCs w:val="0"/>
          <w:i w:val="0"/>
          <w:iCs w:val="0"/>
          <w:sz w:val="24"/>
          <w:szCs w:val="24"/>
          <w:lang w:val="ro-RO"/>
        </w:rPr>
        <w:t xml:space="preserve">               </w:t>
      </w:r>
      <w:bookmarkStart w:id="0" w:name="_GoBack"/>
      <w:bookmarkEnd w:id="0"/>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lang w:val="ro-RO"/>
        </w:rPr>
        <w:t>FELIX-COSMIN BORCEAN</w:t>
      </w:r>
    </w:p>
    <w:p>
      <w:pPr>
        <w:jc w:val="both"/>
        <w:rPr>
          <w:rFonts w:ascii="Times New Roman" w:hAnsi="Times New Roman" w:cs="Times New Roman"/>
          <w:b w:val="0"/>
          <w:bCs w:val="0"/>
          <w:i w:val="0"/>
          <w:iCs w:val="0"/>
          <w:sz w:val="24"/>
          <w:szCs w:val="24"/>
        </w:rPr>
      </w:pPr>
    </w:p>
    <w:p>
      <w:pPr>
        <w:autoSpaceDE w:val="0"/>
        <w:jc w:val="both"/>
        <w:rPr>
          <w:rFonts w:ascii="Times New Roman" w:hAnsi="Times New Roman" w:cs="Times New Roman"/>
          <w:b w:val="0"/>
          <w:bCs w:val="0"/>
          <w:i w:val="0"/>
          <w:iCs w:val="0"/>
          <w:sz w:val="24"/>
          <w:szCs w:val="24"/>
        </w:rPr>
      </w:pPr>
    </w:p>
    <w:p>
      <w:pPr>
        <w:autoSpaceDE w:val="0"/>
        <w:jc w:val="both"/>
        <w:rPr>
          <w:rFonts w:ascii="Times New Roman" w:hAnsi="Times New Roman" w:cs="Georgia"/>
          <w:b/>
          <w:bCs/>
        </w:rPr>
      </w:pPr>
    </w:p>
    <w:p>
      <w:pPr>
        <w:autoSpaceDE w:val="0"/>
        <w:jc w:val="both"/>
        <w:rPr>
          <w:rFonts w:ascii="Times New Roman" w:hAnsi="Times New Roman" w:cs="Georgia"/>
          <w:b/>
          <w:bCs/>
        </w:rPr>
      </w:pPr>
    </w:p>
    <w:p>
      <w:pPr>
        <w:autoSpaceDE w:val="0"/>
        <w:jc w:val="both"/>
        <w:rPr>
          <w:rFonts w:ascii="Times New Roman" w:hAnsi="Times New Roman" w:cs="Georgia"/>
          <w:b/>
          <w:bCs/>
        </w:rPr>
      </w:pPr>
    </w:p>
    <w:p>
      <w:pPr>
        <w:autoSpaceDE w:val="0"/>
        <w:jc w:val="both"/>
        <w:rPr>
          <w:rFonts w:ascii="Times New Roman" w:hAnsi="Times New Roman" w:cs="Georgia"/>
          <w:b/>
          <w:bCs/>
        </w:rPr>
      </w:pPr>
    </w:p>
    <w:p>
      <w:pPr>
        <w:autoSpaceDE w:val="0"/>
        <w:jc w:val="center"/>
      </w:pPr>
      <w:r>
        <w:rPr>
          <w:rFonts w:ascii="Times New Roman" w:hAnsi="Times New Roman" w:cs="Georgia"/>
          <w:b/>
          <w:bCs/>
        </w:rPr>
        <w:t>Raport de specialitate</w:t>
      </w:r>
    </w:p>
    <w:p>
      <w:pPr>
        <w:autoSpaceDE w:val="0"/>
        <w:jc w:val="center"/>
      </w:pPr>
      <w:r>
        <w:rPr>
          <w:rFonts w:ascii="Times New Roman" w:hAnsi="Times New Roman" w:cs="Georgia"/>
          <w:b/>
          <w:bCs/>
        </w:rPr>
        <w:t>privind propunerea de aprobare a proiectului de hotărâre privind</w:t>
      </w:r>
    </w:p>
    <w:p>
      <w:pPr>
        <w:autoSpaceDE w:val="0"/>
        <w:jc w:val="center"/>
      </w:pPr>
      <w:r>
        <w:rPr>
          <w:rFonts w:ascii="Times New Roman" w:hAnsi="Times New Roman" w:cs="Georgia"/>
          <w:b/>
          <w:bCs/>
        </w:rPr>
        <w:t>adoptarea criteriilor pentru stabilirea ordinii de prioritate</w:t>
      </w:r>
    </w:p>
    <w:p>
      <w:pPr>
        <w:autoSpaceDE w:val="0"/>
        <w:jc w:val="center"/>
      </w:pPr>
      <w:r>
        <w:rPr>
          <w:rFonts w:ascii="Times New Roman" w:hAnsi="Times New Roman" w:cs="Georgia"/>
          <w:b/>
          <w:bCs/>
        </w:rPr>
        <w:t>în soluţionarea cererilor de locuinţe şi în repartizarea locuinţelor pentru tineri, destinate închirierii, în municipiul Caransebes</w:t>
      </w:r>
    </w:p>
    <w:p>
      <w:pPr>
        <w:autoSpaceDE w:val="0"/>
        <w:jc w:val="center"/>
        <w:rPr>
          <w:rFonts w:ascii="Times New Roman" w:hAnsi="Times New Roman" w:cs="Georgia"/>
          <w:b/>
          <w:bCs/>
        </w:rPr>
      </w:pPr>
    </w:p>
    <w:p>
      <w:pPr>
        <w:autoSpaceDE w:val="0"/>
        <w:jc w:val="both"/>
      </w:pPr>
      <w:r>
        <w:rPr>
          <w:rFonts w:ascii="Times New Roman" w:hAnsi="Times New Roman" w:cs="Georgia"/>
          <w:b/>
          <w:bCs/>
        </w:rPr>
        <w:t>Având în vedere:</w:t>
      </w:r>
    </w:p>
    <w:p>
      <w:pPr>
        <w:autoSpaceDE w:val="0"/>
        <w:jc w:val="both"/>
      </w:pPr>
      <w:r>
        <w:rPr>
          <w:rFonts w:ascii="Times New Roman" w:hAnsi="Times New Roman" w:cs="Georgia"/>
        </w:rPr>
        <w:t>- Referatul de aprobare nr. ……../…….. a Proiectului de hotărare privind adoptarea criteriilor pentru stabilirea ordinii de prioritate in soluţionarea cererilor de locuinţe şi in repartizarea locuinţelor pentru tineri, destinate inchirierii, in Municipiul Caransebes;</w:t>
      </w:r>
    </w:p>
    <w:p>
      <w:pPr>
        <w:autoSpaceDE w:val="0"/>
        <w:jc w:val="both"/>
      </w:pPr>
      <w:r>
        <w:rPr>
          <w:rFonts w:ascii="Times New Roman" w:hAnsi="Times New Roman" w:cs="Georgia"/>
        </w:rPr>
        <w:t>- Proiectul de hotărare privind adoptarea criteriilor pentru stabilirea ordinii de</w:t>
      </w:r>
    </w:p>
    <w:p>
      <w:pPr>
        <w:autoSpaceDE w:val="0"/>
        <w:jc w:val="both"/>
      </w:pPr>
      <w:r>
        <w:rPr>
          <w:rFonts w:ascii="Times New Roman" w:hAnsi="Times New Roman" w:cs="Georgia"/>
        </w:rPr>
        <w:t>prioritate in soluţionarea cererilor de locuinţe şi in repartizarea locuinţelor pentru tineri, destinate inchirierii, in municipiul Caransebes;</w:t>
      </w:r>
    </w:p>
    <w:p>
      <w:pPr>
        <w:autoSpaceDE w:val="0"/>
        <w:jc w:val="both"/>
      </w:pPr>
      <w:r>
        <w:rPr>
          <w:rFonts w:ascii="Times New Roman" w:hAnsi="Times New Roman" w:cs="Georgia"/>
        </w:rPr>
        <w:t>- Prevederile art. 136 alin. 3, alin. 8 lit b, din OUG nr. 57/2019 privind Codul</w:t>
      </w:r>
    </w:p>
    <w:p>
      <w:pPr>
        <w:autoSpaceDE w:val="0"/>
        <w:jc w:val="both"/>
      </w:pPr>
      <w:r>
        <w:rPr>
          <w:rFonts w:ascii="Times New Roman" w:hAnsi="Times New Roman" w:cs="Georgia"/>
        </w:rPr>
        <w:t>administrativ.</w:t>
      </w:r>
    </w:p>
    <w:p>
      <w:pPr>
        <w:autoSpaceDE w:val="0"/>
        <w:jc w:val="both"/>
        <w:rPr>
          <w:rFonts w:ascii="Times New Roman" w:hAnsi="Times New Roman" w:cs="Georgia"/>
        </w:rPr>
      </w:pPr>
    </w:p>
    <w:p>
      <w:pPr>
        <w:autoSpaceDE w:val="0"/>
        <w:jc w:val="both"/>
      </w:pPr>
      <w:r>
        <w:rPr>
          <w:rFonts w:ascii="Times New Roman" w:hAnsi="Times New Roman" w:cs="Georgia"/>
          <w:b/>
          <w:bCs/>
        </w:rPr>
        <w:t>Urmare a analizării proiectului de hotărâre şi a referatului de aprobare al iniţiatorului, precizăm următoarele aspecte:</w:t>
      </w:r>
    </w:p>
    <w:p>
      <w:pPr>
        <w:autoSpaceDE w:val="0"/>
        <w:jc w:val="both"/>
      </w:pPr>
      <w:r>
        <w:rPr>
          <w:rFonts w:ascii="Times New Roman" w:hAnsi="Times New Roman" w:cs="Georgia"/>
        </w:rPr>
        <w:t>Dispoziţiile Legii nr. 152/1998 privind infiinţarea Agenţiei Naţionale pentru Locuinţe, republicată, cu modificările şi completările ulterioare şi a H.G. nr. 962/2001 privind aprobarea Normelor Metodologice pentru punerea in aplicare a prevederilor Legii nr. 152/1998 cu modificările ulterioare, prevăd următoarele:</w:t>
      </w:r>
    </w:p>
    <w:p>
      <w:pPr>
        <w:autoSpaceDE w:val="0"/>
        <w:jc w:val="both"/>
      </w:pPr>
      <w:r>
        <w:rPr>
          <w:rFonts w:ascii="Times New Roman" w:hAnsi="Times New Roman" w:cs="Georgia"/>
        </w:rPr>
        <w:t xml:space="preserve">Art.8 alin. (3) </w:t>
      </w:r>
      <w:r>
        <w:rPr>
          <w:rFonts w:ascii="Times New Roman" w:hAnsi="Times New Roman" w:cs="Georgia"/>
          <w:i/>
          <w:iCs/>
        </w:rPr>
        <w:t>"Repartizarea locuinţelor pentru tineri destinate închirierii, construite şi date în exploatare prin programele derulate de A.N.L. conform prevederilor art. 7 alin. (6), se face după criterii stabilite şi adoptate de autorităţile administraţiei publice locale, autorităţile administraţiei publice locale ale sectoarelor municipiului Bucureşti şi/sau autorităţile administraţiei publice centrale care preiau în administrare aceste locuinţe, cu avizul Ministerului Dezvoltării, Lucrărilor Publice şi Administraţiei, pe baza unor criterii cadru de acces la locuinţe şi, respectiv, de prioritate în repartizarea locuinţelor, aprobatesituaţii concrete existente pe plan local numai criteriile-cadru de acces la locuinţe şi numai din punctul de vedere al cuprinderii teritoriale. ”</w:t>
      </w:r>
    </w:p>
    <w:p>
      <w:pPr>
        <w:autoSpaceDE w:val="0"/>
        <w:jc w:val="both"/>
      </w:pPr>
      <w:r>
        <w:rPr>
          <w:rFonts w:ascii="Times New Roman" w:hAnsi="Times New Roman" w:cs="Georgia"/>
        </w:rPr>
        <w:t xml:space="preserve">Alt. 14 alin. (7) </w:t>
      </w:r>
      <w:r>
        <w:rPr>
          <w:rFonts w:ascii="Times New Roman" w:hAnsi="Times New Roman" w:cs="Georgia"/>
          <w:i/>
          <w:iCs/>
        </w:rPr>
        <w:t xml:space="preserve">“Stabilirea solicitanţilor care au acces la locuinţe şi a ordinii de prioritate în soluţionarea cererilor înregistrate în condiţiile alin. (1) şi (2) precum şi repartizarea locuinţelor pentru tineri, destinate închirierii, </w:t>
      </w:r>
      <w:r>
        <w:rPr>
          <w:rFonts w:ascii="Times New Roman" w:hAnsi="Times New Roman" w:cs="Georgia"/>
          <w:b/>
          <w:bCs/>
          <w:i/>
          <w:iCs/>
        </w:rPr>
        <w:t xml:space="preserve">se realizează în mod obligatoriu după criterii care vor respecta criteriile-cadru cuprinse în anexa nr, 11 </w:t>
      </w:r>
      <w:r>
        <w:rPr>
          <w:rFonts w:ascii="Times New Roman" w:hAnsi="Times New Roman" w:cs="Georgia"/>
          <w:i/>
          <w:iCs/>
        </w:rPr>
        <w:t>şi care se adoptă, cu avizul Ministerului Dezvoltării Regionale şi Administraţiei Publice, de autorităţile administraţiei publice locale şi/sau centrale care preiau în administrare aceste locuinţe.</w:t>
      </w:r>
    </w:p>
    <w:p>
      <w:pPr>
        <w:autoSpaceDE w:val="0"/>
        <w:jc w:val="both"/>
      </w:pPr>
      <w:r>
        <w:rPr>
          <w:rFonts w:ascii="Times New Roman" w:hAnsi="Times New Roman" w:cs="Georgia"/>
          <w:i/>
          <w:iCs/>
        </w:rPr>
        <w:t>A (8) In adoptarea criteriilor prevăzute la alin. (7) se vor avea în vedere următoarele:</w:t>
      </w:r>
    </w:p>
    <w:p>
      <w:pPr>
        <w:autoSpaceDE w:val="0"/>
        <w:jc w:val="both"/>
      </w:pPr>
      <w:r>
        <w:rPr>
          <w:rFonts w:ascii="Times New Roman" w:hAnsi="Times New Roman" w:cs="Georgia"/>
          <w:i/>
          <w:iCs/>
        </w:rPr>
        <w:t>a) criteriile de acces la locuinţă vor fi adaptate la situaţiile concrete existente pe plan local, numai din punctul de vedere al cuprinderii teritoriale.</w:t>
      </w:r>
    </w:p>
    <w:p>
      <w:pPr>
        <w:autoSpaceDE w:val="0"/>
        <w:jc w:val="both"/>
      </w:pPr>
      <w:r>
        <w:rPr>
          <w:rFonts w:ascii="Times New Roman" w:hAnsi="Times New Roman" w:cs="Georgia"/>
          <w:i/>
          <w:iCs/>
        </w:rPr>
        <w:t>b) pentru criteriile de ierarhizare prin punctaj nu se admit modificări şi/sau completări, acestea urmând a fi preluate sub forma şi cu punctajul stabilite în anexa nr. 11:</w:t>
      </w:r>
    </w:p>
    <w:p>
      <w:pPr>
        <w:autoSpaceDE w:val="0"/>
        <w:jc w:val="both"/>
      </w:pPr>
      <w:r>
        <w:rPr>
          <w:rFonts w:ascii="Times New Roman" w:hAnsi="Times New Roman" w:cs="Georgia"/>
          <w:i/>
          <w:iCs/>
        </w:rPr>
        <w:t xml:space="preserve">d) criteriile pentru stabilirea ordinii de prioritate în soluţionarea cererilor de locuinţe şi în repartizarea locuinţelor pentru tineri, destinate închirierii, </w:t>
      </w:r>
      <w:r>
        <w:rPr>
          <w:rFonts w:ascii="Times New Roman" w:hAnsi="Times New Roman" w:cs="Georgia"/>
          <w:b/>
          <w:bCs/>
          <w:i/>
          <w:iCs/>
        </w:rPr>
        <w:t xml:space="preserve">se adoptă sub formă de propuneri care se transmit spre avizare Ministerului Dezvoltării Regionale şi Administraţiei Publice, însoţite de o copie a actului prin care au fost adoptate. </w:t>
      </w:r>
    </w:p>
    <w:p>
      <w:pPr>
        <w:autoSpaceDE w:val="0"/>
        <w:jc w:val="both"/>
      </w:pPr>
      <w:r>
        <w:rPr>
          <w:rFonts w:ascii="Times New Roman" w:hAnsi="Times New Roman" w:cs="Georgia"/>
          <w:i/>
          <w:iCs/>
        </w:rPr>
        <w:t>Forma finală a criteriilor se adoptă după primirea avizului favorabil al Ministerului Dezvoltării Regionale şi Administraţiei Publice şi efectuarea eventualelor modificări şi completări solicitate prin avizul respectiv;</w:t>
      </w:r>
      <w:r>
        <w:rPr>
          <w:rFonts w:ascii="Times New Roman" w:hAnsi="Times New Roman" w:cs="Georgia"/>
        </w:rPr>
        <w:t>....</w:t>
      </w:r>
    </w:p>
    <w:p>
      <w:pPr>
        <w:autoSpaceDE w:val="0"/>
        <w:jc w:val="both"/>
      </w:pPr>
      <w:r>
        <w:rPr>
          <w:rFonts w:ascii="Times New Roman" w:hAnsi="Times New Roman" w:cs="Georgia"/>
        </w:rPr>
        <w:t>Necesitatea adaptării criteriilor cadru aprobate prin HCL a Municipiului Caransebes nr.</w:t>
      </w:r>
    </w:p>
    <w:p>
      <w:pPr>
        <w:autoSpaceDE w:val="0"/>
        <w:jc w:val="both"/>
      </w:pPr>
      <w:r>
        <w:rPr>
          <w:rFonts w:ascii="Times New Roman" w:hAnsi="Times New Roman" w:cs="Georgia"/>
        </w:rPr>
        <w:t xml:space="preserve">136/2019 privind adoptarea criteriilor pentru stabilirea ordinii de prioritate in soluţionarea cererilor de locuinţe şi in repartizarea locuinţelor pentru tineri, destinate inchirierii, la modificările legislative din OUG nr. 55/2021 privind modificarea Legii nr. 152/1998, conform cărora: </w:t>
      </w:r>
      <w:r>
        <w:rPr>
          <w:rFonts w:ascii="Times New Roman" w:hAnsi="Times New Roman" w:cs="Georgia"/>
          <w:i/>
          <w:iCs/>
        </w:rPr>
        <w:t xml:space="preserve">"Tinerii, în sensul prevederilor prezentei legi, sunt persoane majore cu vârsta de până la 35 de ani la data depunerii cererii pentru repartizarea unei locuinţe construite prin programele A.N.L., destinate închirierii, şi care pot primi repartiţii în cel mult </w:t>
      </w:r>
      <w:r>
        <w:rPr>
          <w:rFonts w:ascii="Times New Roman" w:hAnsi="Times New Roman" w:cs="Georgia"/>
          <w:b/>
          <w:bCs/>
          <w:i/>
          <w:iCs/>
        </w:rPr>
        <w:t xml:space="preserve">60 de luni </w:t>
      </w:r>
      <w:r>
        <w:rPr>
          <w:rFonts w:ascii="Times New Roman" w:hAnsi="Times New Roman" w:cs="Georgia"/>
          <w:i/>
          <w:iCs/>
        </w:rPr>
        <w:t>de la împlinirea acestei vârste ”.</w:t>
      </w:r>
    </w:p>
    <w:p>
      <w:pPr>
        <w:autoSpaceDE w:val="0"/>
        <w:jc w:val="both"/>
      </w:pPr>
      <w:r>
        <w:rPr>
          <w:rFonts w:ascii="Times New Roman" w:hAnsi="Times New Roman" w:cs="Georgia"/>
        </w:rPr>
        <w:t>La nivelul municipiului Caransebes, există un număr de …… blocuri de locuinţe construite prin programul derulat de către Agenţia Naţională pentru Locuinţe in temeiul Legii nr. 152/1998, insumand un număr de 224 locuinţe pentru tineri destinate inchirierii.</w:t>
      </w:r>
    </w:p>
    <w:p>
      <w:pPr>
        <w:autoSpaceDE w:val="0"/>
        <w:jc w:val="both"/>
      </w:pPr>
      <w:r>
        <w:rPr>
          <w:rFonts w:ascii="Times New Roman" w:hAnsi="Times New Roman" w:cs="Georgia"/>
        </w:rPr>
        <w:t xml:space="preserve">A  In prezent, repartizarea locuinţelor se face respectand HCL a Municipiului Caransebes nr. ….. din ………. </w:t>
      </w:r>
      <w:r>
        <w:rPr>
          <w:rFonts w:ascii="Times New Roman" w:hAnsi="Times New Roman" w:cs="Georgia"/>
          <w:color w:val="auto"/>
        </w:rPr>
        <w:t>privind aprobarea listei de repartizare a locuinţelor pentru tineri destinate inchirierii - ANL.</w:t>
      </w:r>
    </w:p>
    <w:p>
      <w:pPr>
        <w:autoSpaceDE w:val="0"/>
        <w:jc w:val="both"/>
      </w:pPr>
      <w:r>
        <w:rPr>
          <w:rFonts w:ascii="Times New Roman" w:hAnsi="Times New Roman" w:cs="Georgia"/>
        </w:rPr>
        <w:t xml:space="preserve">Art. 15 alin. (1) al H.G. nr. 962/2001 prevede: </w:t>
      </w:r>
      <w:r>
        <w:rPr>
          <w:rFonts w:ascii="Times New Roman" w:hAnsi="Times New Roman" w:cs="Georgia"/>
          <w:i/>
          <w:iCs/>
        </w:rPr>
        <w:t>"Analizarea cererilor şi stabilirea</w:t>
      </w:r>
    </w:p>
    <w:p>
      <w:pPr>
        <w:autoSpaceDE w:val="0"/>
        <w:jc w:val="both"/>
      </w:pPr>
      <w:r>
        <w:rPr>
          <w:rFonts w:ascii="Times New Roman" w:hAnsi="Times New Roman" w:cs="Georgia"/>
          <w:i/>
          <w:iCs/>
        </w:rPr>
        <w:t>listei de priorităţi în soluţionarea acestora se fac până la sfârşitul lunii februarie a anului respectiv, luându-se în considerare cererile depuse până la sfârşitul anului precedent".</w:t>
      </w:r>
    </w:p>
    <w:p>
      <w:pPr>
        <w:autoSpaceDE w:val="0"/>
        <w:jc w:val="both"/>
      </w:pPr>
      <w:r>
        <w:rPr>
          <w:rFonts w:ascii="Times New Roman" w:hAnsi="Times New Roman" w:cs="Georgia"/>
        </w:rPr>
        <w:t>Nota de la punctul 4 al criteriilor cadru, anexa 11 la Normele Metodologice, precizează faptul că:</w:t>
      </w:r>
    </w:p>
    <w:p>
      <w:pPr>
        <w:autoSpaceDE w:val="0"/>
        <w:jc w:val="both"/>
      </w:pPr>
      <w:r>
        <w:rPr>
          <w:rFonts w:ascii="Times New Roman" w:hAnsi="Times New Roman" w:cs="Georgia"/>
          <w:i/>
          <w:iCs/>
        </w:rPr>
        <w:t>Lista de priorităţi se stabileşte ori de câte ori este cazul, dacă în anul respectiv urmează să se finalizeze şi să se repartizeze locuinţe noi pentru tineri, destinate închirierii, dacă titularii cererilor de locuinţe înscrişi în lista aprobată iniţial nu mai îndeplinesc criteriile de acces la locuinţă sau dacă există locuinţe pentru tineri rămase vacante.</w:t>
      </w:r>
      <w:r>
        <w:rPr>
          <w:rFonts w:ascii="Times New Roman" w:hAnsi="Times New Roman" w:cs="Georgia"/>
          <w:b/>
          <w:bCs/>
        </w:rPr>
        <w:t xml:space="preserve"> - </w:t>
      </w:r>
      <w:r>
        <w:rPr>
          <w:rFonts w:ascii="Times New Roman" w:hAnsi="Times New Roman" w:cs="Georgia"/>
          <w:i/>
          <w:iCs/>
        </w:rPr>
        <w:t xml:space="preserve">Solicitanţii înscrişi în lista de priorităţi, cu respectarea criteriilor de la pct. 1, 2 şi 3, care nu pot beneficia de repartizarea unei locuinţe în limita fondului disponibil în anul respectiv, pot primi repartiţii în anii următori, </w:t>
      </w:r>
      <w:r>
        <w:rPr>
          <w:rFonts w:ascii="Times New Roman" w:hAnsi="Times New Roman" w:cs="Georgia"/>
          <w:b/>
          <w:bCs/>
          <w:i/>
          <w:iCs/>
        </w:rPr>
        <w:t>în limita fondului disponibil în fiecare an şi în noua ordine de prioritate stabilită</w:t>
      </w:r>
    </w:p>
    <w:p>
      <w:pPr>
        <w:autoSpaceDE w:val="0"/>
        <w:jc w:val="both"/>
      </w:pPr>
      <w:r>
        <w:rPr>
          <w:rFonts w:ascii="Times New Roman" w:hAnsi="Times New Roman" w:cs="Georgia"/>
        </w:rPr>
        <w:t>Prin urmare, trebuie realizată o nouă analiză a solicitărilor pentru acordarea locuinţelor şi stabilirea listei de priorităţi pentru repartizarea locuinţelor ANL devenite vacante pe perioada exploatării.</w:t>
      </w:r>
    </w:p>
    <w:p>
      <w:pPr>
        <w:autoSpaceDE w:val="0"/>
        <w:jc w:val="both"/>
      </w:pPr>
      <w:r>
        <w:rPr>
          <w:rFonts w:ascii="Times New Roman" w:hAnsi="Times New Roman" w:cs="Georgia"/>
        </w:rPr>
        <w:t xml:space="preserve">Pentru repartizarea locuinţelor pentru tineri destinate inchirierii rămase vacante pe perioada exploatării acestora in regim de inchiriere, procedura de repartizare este instituită prin dispoziţiile art. 15 alin. 9 din HG 962/2001, cu modificările şi completările ulterioare, astfel; </w:t>
      </w:r>
      <w:r>
        <w:rPr>
          <w:rFonts w:ascii="Times New Roman" w:hAnsi="Times New Roman" w:cs="Georgia"/>
          <w:i/>
          <w:iCs/>
        </w:rPr>
        <w:t>(9) In aplicarea prevederilor art. 8 alin. (2) teza a doua şi alin. (6) din Legea nr. 152/1998, republicată, cu modificările şi completările ulterioare, locuinţele rămase vacante pe perioada exploatării acestora în regim de închiriere pot fi supuse schimbului de locuinţă în condiţiile prevăzute la alin. (17) şi (19) dacă există astfel de solicitări.</w:t>
      </w:r>
    </w:p>
    <w:p>
      <w:pPr>
        <w:autoSpaceDE w:val="0"/>
        <w:jc w:val="both"/>
      </w:pPr>
      <w:r>
        <w:rPr>
          <w:rFonts w:ascii="Times New Roman" w:hAnsi="Times New Roman" w:cs="Georgia"/>
          <w:i/>
          <w:iCs/>
        </w:rPr>
        <w:t>Locuinţele devenite vacante după efectuarea schimbului de locuinţe şi locuinţele devenite vacante pentru care nu există solicitări de schimb se repartizează solicitanţilor care au înregistrate cereri în condiţiile prevederilor art. 14 alin. (1) şi (2) şi care îndeplinesc criteriile de acces adoptate în condiţiile prevederilor art. 14 alin. (7). Repartizarea acestor locuinţe se face în ordinea stabilită prin lista de priorităţi, întocmită sau refăcută în condiţiile prevederilor alin. (1) şi (2).</w:t>
      </w:r>
    </w:p>
    <w:p>
      <w:pPr>
        <w:autoSpaceDE w:val="0"/>
        <w:jc w:val="both"/>
        <w:rPr>
          <w:rFonts w:ascii="Times New Roman" w:hAnsi="Times New Roman" w:cs="Georgia"/>
          <w:i/>
          <w:iCs/>
        </w:rPr>
      </w:pPr>
    </w:p>
    <w:p>
      <w:pPr>
        <w:autoSpaceDE w:val="0"/>
        <w:jc w:val="both"/>
      </w:pPr>
      <w:r>
        <w:rPr>
          <w:rFonts w:ascii="Times New Roman" w:hAnsi="Times New Roman" w:cs="Georgia"/>
          <w:b/>
          <w:bCs/>
        </w:rPr>
        <w:t>Propunem spre aprobarea Consiliului Local al Municipiului Caransebes:</w:t>
      </w:r>
    </w:p>
    <w:p>
      <w:pPr>
        <w:autoSpaceDE w:val="0"/>
        <w:jc w:val="both"/>
      </w:pPr>
      <w:r>
        <w:rPr>
          <w:rFonts w:ascii="Times New Roman" w:hAnsi="Times New Roman" w:cs="Georgia"/>
          <w:b w:val="0"/>
          <w:bCs w:val="0"/>
        </w:rPr>
        <w:t xml:space="preserve">1. </w:t>
      </w:r>
      <w:r>
        <w:rPr>
          <w:rFonts w:ascii="Times New Roman" w:hAnsi="Times New Roman" w:cs="Georgia"/>
          <w:i/>
          <w:iCs/>
        </w:rPr>
        <w:t xml:space="preserve">Adoptarea criteriilor pentru stabilirea ordinii de prioritate în soluţionarea cererilor de locuinţe şi în repartizarea locuinţelor pentru tineri, destinate închirierii, în municipiul Caransebes, </w:t>
      </w:r>
      <w:r>
        <w:rPr>
          <w:rFonts w:ascii="Times New Roman" w:hAnsi="Times New Roman" w:cs="Georgia"/>
        </w:rPr>
        <w:t>conform Anexei 1.</w:t>
      </w:r>
    </w:p>
    <w:p>
      <w:pPr>
        <w:autoSpaceDE w:val="0"/>
        <w:jc w:val="both"/>
      </w:pPr>
      <w:r>
        <w:rPr>
          <w:rFonts w:ascii="Times New Roman" w:hAnsi="Times New Roman" w:cs="Georgia"/>
        </w:rPr>
        <w:t>2. Lista actelor justificative pentru probarea indeplinirii criteriilor cadru de acces şi de ierarhizare prin punctaj, conform Anexei 2.</w:t>
      </w:r>
    </w:p>
    <w:p>
      <w:pPr>
        <w:autoSpaceDE w:val="0"/>
        <w:jc w:val="both"/>
      </w:pPr>
      <w:r>
        <w:rPr>
          <w:rFonts w:ascii="Times New Roman" w:hAnsi="Times New Roman" w:cs="Georgia"/>
        </w:rPr>
        <w:t>3. Nota de fundamentare a criteriilor propuse, conform Anexei 3.</w:t>
      </w:r>
    </w:p>
    <w:p>
      <w:pPr>
        <w:autoSpaceDE w:val="0"/>
        <w:jc w:val="both"/>
      </w:pPr>
      <w:r>
        <w:rPr>
          <w:rFonts w:ascii="Times New Roman" w:hAnsi="Times New Roman" w:cs="Georgia"/>
        </w:rPr>
        <w:t>4. Abrogarea HCL nr………../……………….</w:t>
      </w: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pPr>
        <w:jc w:val="both"/>
        <w:rPr>
          <w:rFonts w:ascii="Times New Roman" w:hAnsi="Times New Roman" w:cs="Times New Roman"/>
          <w:b w:val="0"/>
          <w:bCs w:val="0"/>
          <w:i w:val="0"/>
          <w:iCs w:val="0"/>
          <w:sz w:val="24"/>
          <w:szCs w:val="24"/>
        </w:rPr>
      </w:pPr>
    </w:p>
    <w:p>
      <w:pPr>
        <w:jc w:val="both"/>
      </w:pPr>
      <w:r>
        <w:rPr>
          <w:rFonts w:ascii="Times New Roman" w:hAnsi="Times New Roman" w:eastAsia="Times New Roman" w:cs="Times New Roman"/>
          <w:b w:val="0"/>
          <w:bCs w:val="0"/>
          <w:i w:val="0"/>
          <w:iCs w:val="0"/>
          <w:sz w:val="24"/>
          <w:szCs w:val="24"/>
        </w:rPr>
        <w:t xml:space="preserve">    </w:t>
      </w:r>
      <w:r>
        <w:rPr>
          <w:rFonts w:ascii="Times New Roman" w:hAnsi="Times New Roman" w:eastAsia="Georgia" w:cs="Times New Roman"/>
          <w:b w:val="0"/>
          <w:bCs w:val="0"/>
          <w:i w:val="0"/>
          <w:iCs w:val="0"/>
          <w:sz w:val="24"/>
          <w:szCs w:val="24"/>
        </w:rPr>
        <w:tab/>
      </w:r>
      <w:r>
        <w:rPr>
          <w:rFonts w:ascii="Times New Roman" w:hAnsi="Times New Roman" w:eastAsia="Georgia" w:cs="Times New Roman"/>
          <w:b w:val="0"/>
          <w:bCs w:val="0"/>
          <w:i w:val="0"/>
          <w:iCs w:val="0"/>
          <w:sz w:val="24"/>
          <w:szCs w:val="24"/>
        </w:rPr>
        <w:t xml:space="preserve">  Sef Serviciu          </w:t>
      </w:r>
      <w:r>
        <w:rPr>
          <w:rFonts w:ascii="Times New Roman" w:hAnsi="Times New Roman" w:cs="Times New Roman"/>
          <w:b w:val="0"/>
          <w:bCs w:val="0"/>
          <w:i w:val="0"/>
          <w:iCs w:val="0"/>
          <w:sz w:val="24"/>
          <w:szCs w:val="24"/>
        </w:rPr>
        <w:t xml:space="preserve">                              </w:t>
      </w:r>
      <w:r>
        <w:rPr>
          <w:rFonts w:ascii="Times New Roman" w:hAnsi="Times New Roman" w:eastAsia="Georgia"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Comp.Spatiu Locativ </w:t>
      </w:r>
    </w:p>
    <w:p>
      <w:pPr>
        <w:jc w:val="both"/>
        <w:rPr>
          <w:rFonts w:ascii="Times New Roman" w:hAnsi="Times New Roman" w:cs="Times New Roman"/>
          <w:b w:val="0"/>
          <w:bCs w:val="0"/>
          <w:i w:val="0"/>
          <w:iCs w:val="0"/>
          <w:sz w:val="24"/>
          <w:szCs w:val="24"/>
        </w:rPr>
      </w:pPr>
    </w:p>
    <w:p>
      <w:pPr>
        <w:jc w:val="both"/>
      </w:pPr>
      <w:r>
        <w:rPr>
          <w:rFonts w:ascii="Times New Roman" w:hAnsi="Times New Roman" w:eastAsia="Times New Roman" w:cs="Times New Roman"/>
          <w:b w:val="0"/>
          <w:bCs w:val="0"/>
          <w:i w:val="0"/>
          <w:iCs w:val="0"/>
          <w:sz w:val="24"/>
          <w:szCs w:val="24"/>
        </w:rPr>
        <w:t xml:space="preserve">      </w:t>
      </w:r>
      <w:r>
        <w:rPr>
          <w:rFonts w:ascii="Times New Roman" w:hAnsi="Times New Roman" w:eastAsia="Georgia" w:cs="Times New Roman"/>
          <w:b w:val="0"/>
          <w:bCs w:val="0"/>
          <w:i w:val="0"/>
          <w:iCs w:val="0"/>
          <w:sz w:val="24"/>
          <w:szCs w:val="24"/>
        </w:rPr>
        <w:tab/>
      </w:r>
      <w:r>
        <w:rPr>
          <w:rFonts w:ascii="Times New Roman" w:hAnsi="Times New Roman" w:eastAsia="Georgia" w:cs="Times New Roman"/>
          <w:b w:val="0"/>
          <w:bCs w:val="0"/>
          <w:i w:val="0"/>
          <w:iCs w:val="0"/>
          <w:sz w:val="24"/>
          <w:szCs w:val="24"/>
        </w:rPr>
        <w:t>Adrian Berzescu</w:t>
      </w:r>
      <w:r>
        <w:rPr>
          <w:rFonts w:ascii="Times New Roman" w:hAnsi="Times New Roman" w:cs="Times New Roman"/>
          <w:b w:val="0"/>
          <w:bCs w:val="0"/>
          <w:i w:val="0"/>
          <w:iCs w:val="0"/>
          <w:sz w:val="24"/>
          <w:szCs w:val="24"/>
        </w:rPr>
        <w:t xml:space="preserve">                                                               </w:t>
      </w:r>
      <w:r>
        <w:rPr>
          <w:rFonts w:ascii="Times New Roman" w:hAnsi="Times New Roman" w:eastAsia="Georgia"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Olariu Valentina     </w:t>
      </w:r>
    </w:p>
    <w:p>
      <w:pPr>
        <w:jc w:val="both"/>
      </w:pP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 xml:space="preserve"> </w:t>
      </w:r>
    </w:p>
    <w:p>
      <w:pPr>
        <w:autoSpaceDE w:val="0"/>
        <w:jc w:val="both"/>
        <w:rPr>
          <w:rFonts w:ascii="Times New Roman" w:hAnsi="Times New Roman" w:cs="Times New Roman"/>
          <w:i w:val="0"/>
          <w:iCs w:val="0"/>
          <w:sz w:val="20"/>
          <w:szCs w:val="20"/>
        </w:rPr>
      </w:pPr>
    </w:p>
    <w:p>
      <w:pPr>
        <w:autoSpaceDE w:val="0"/>
        <w:jc w:val="both"/>
        <w:rPr>
          <w:rFonts w:ascii="Times New Roman" w:hAnsi="Times New Roman" w:cs="Georgia"/>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A6851"/>
    <w:rsid w:val="6B4A6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suppressAutoHyphens/>
      <w:bidi w:val="0"/>
    </w:pPr>
    <w:rPr>
      <w:rFonts w:ascii="Times New Roman" w:hAnsi="Times New Roman" w:eastAsia="Times New Roman" w:cs="Times New Roman"/>
      <w:color w:val="auto"/>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2022-12-13T09:02:00Z</dcterms:created>
  <dc:creator>Florin</dc:creator>
  <cp:lastModifiedBy>Florin</cp:lastModifiedBy>
  <dcterms:modified xsi:type="dcterms:W3CDTF">2022-12-13T09:04:57Z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952E657038F84B9CB4A5FF6AB7E5A415</vt:lpwstr>
  </property>
</Properties>
</file>